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 Session — 2026-02-10</w:t>
      </w:r>
    </w:p>
    <w:p>
      <w:r>
        <w:rPr>
          <w:b/>
        </w:rPr>
        <w:t>Executive summary</w:t>
      </w:r>
    </w:p>
    <w:p>
      <w:r>
        <w:t>The Westerville City Council meeting on February 10, 2026, featured two training presentations. Susan Willockie from the Ohio Ethics Commission provided an overview of ethics laws, covering conflicts of interest, gifts, and public contracts. Law Director Andrew Nies and Assistant Law Director Josh then presented on the Ohio Public Records Act and Open Meetings Act, emphasizing digital communication best practices and highlighting real-world violations, including the Cincinnati 'gang of five' case. No formal actions were taken during the meeting.</w:t>
      </w:r>
    </w:p>
    <w:p>
      <w:pPr>
        <w:pStyle w:val="Heading1"/>
      </w:pPr>
      <w:r>
        <w:t>Agenda items</w:t>
      </w:r>
    </w:p>
    <w:p>
      <w:pPr>
        <w:pStyle w:val="ListBullet"/>
      </w:pPr>
      <w:r>
        <w:t>Ethics Training Presentation</w:t>
      </w:r>
    </w:p>
    <w:p>
      <w:r>
        <w:t>Susan Willockie from the Ohio Ethics Commission presented an overview of Ohio ethics laws, covering conflicts of interest, gifts, public contracts, and post-employment restrictions. — Action: Presentation delivered; council members encouraged to reach out to the Ethics Commission for guidance.; Vote: No action taken</w:t>
      </w:r>
    </w:p>
    <w:p>
      <w:pPr>
        <w:pStyle w:val="ListBullet"/>
      </w:pPr>
      <w:r>
        <w:t>Public Records and Open Meetings Training</w:t>
      </w:r>
    </w:p>
    <w:p>
      <w:r>
        <w:t>Law Director Andrew Nies and Assistant Law Director Josh presented on the Ohio Public Records Act and Open Meetings Act, including digital communication best practices and real-world examples of violations. — Action: Presentation delivered; council members advised to use city accounts for city business and to consult the clerk or law department with questions.; Vote: No action taken</w:t>
      </w:r>
    </w:p>
    <w:p>
      <w:pPr>
        <w:pStyle w:val="Heading1"/>
      </w:pPr>
      <w:r>
        <w:t>Budget highlights</w:t>
      </w:r>
    </w:p>
    <w:p>
      <w:pPr>
        <w:pStyle w:val="Heading1"/>
      </w:pPr>
      <w:r>
        <w:t>Action items</w:t>
      </w:r>
    </w:p>
    <w:p>
      <w:pPr>
        <w:pStyle w:val="Heading1"/>
      </w:pPr>
      <w:r>
        <w:t>Public concerns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