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Special City Council — 2026-03-24</w:t>
      </w:r>
    </w:p>
    <w:p>
      <w:r>
        <w:rPr>
          <w:b/>
        </w:rPr>
        <w:t>Executive summary</w:t>
      </w:r>
    </w:p>
    <w:p>
      <w:r>
        <w:t>The Grove City City Council held a special work session on March 24, 2026, to discuss the proposed community center. Parks and Recreation Director Jack Castle presented a pro forma for a city-owned and operated facility, projecting a $1.1 million annual subsidy. The YMCA of Central Ohio then presented three collaboration models, claiming significant capital and operating savings. After extensive debate, council voted 7-1 to direct the administration to return by April 20 with a side-by-side cost comparison and collaboration options, with the council's administrative chair involved. The decision leaves the door open for potential YMCA partnership while continuing to explore a city-owned model.</w:t>
      </w:r>
    </w:p>
    <w:p>
      <w:pPr>
        <w:pStyle w:val="Heading1"/>
      </w:pPr>
      <w:r>
        <w:t>Agenda items</w:t>
      </w:r>
    </w:p>
    <w:p>
      <w:pPr>
        <w:pStyle w:val="ListBullet"/>
      </w:pPr>
      <w:r>
        <w:t>Parks and Recreation Community Center Pro Forma Presentation</w:t>
      </w:r>
    </w:p>
    <w:p>
      <w:r>
        <w:t>Parks and Recreation Director Jack Castle presented a draft pro forma for a city-owned and operated community center, assuming a 120,000 sq ft facility with fitness, aquatics, and program space. Projected total expenditures of $4 million, revenue of $2.8 million, and a subsidy of $1.1 million (71% cost recovery). — Action: Council discussed the numbers and asked clarifying questions; no formal vote taken.; Vote: No action</w:t>
      </w:r>
    </w:p>
    <w:p>
      <w:pPr>
        <w:pStyle w:val="ListBullet"/>
      </w:pPr>
      <w:r>
        <w:t>YMCA Collaboration Presentation</w:t>
      </w:r>
    </w:p>
    <w:p>
      <w:r>
        <w:t>YMCA of Central Ohio presented three collaboration models (city-owned, YMCA-operated; city-owned, YMCA-operated with Y capital; city-owned, city-operated with Y lease). Emphasized potential capital savings of $54 million vs. city's $80-100M estimate and $1M annual operating subsidy savings. Survey data showed 75% voter support for collaboration. — Action: Council asked questions about financials, membership models, and operational details; no formal vote taken.; Vote: No action</w:t>
      </w:r>
    </w:p>
    <w:p>
      <w:pPr>
        <w:pStyle w:val="ListBullet"/>
      </w:pPr>
      <w:r>
        <w:t>Council Discussion and Motion on Next Steps</w:t>
      </w:r>
    </w:p>
    <w:p>
      <w:r>
        <w:t>Council debated whether to proceed solely with a city-owned and operated model or to explore collaboration with the YMCA. A motion to affirm the existing resolution (CR0825) and move forward with a city-owned, city-operated model with no third-party operators failed. A subsequent motion passed directing the administration to return by April 20, 2026 with a side-by-side cost comparison and collaboration options with the YMCA, with the council's administrative chair involved. — Action: Motion passed 7-1 (Anderson dissenting) to have administration provide a side-by-side comparison by April 20, 2026.; Vote: Motion carries 7-1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City's pro forma: $4M total expenditures, $2.8M revenue, $1.1M subsidy (71% cost recovery).</w:t>
      </w:r>
    </w:p>
    <w:p>
      <w:pPr>
        <w:pStyle w:val="ListBullet"/>
      </w:pPr>
      <w:r>
        <w:t>YMCA claimed collaboration could save $54M in capital costs and $1M annual operating subsidy.</w:t>
      </w:r>
    </w:p>
    <w:p>
      <w:pPr>
        <w:pStyle w:val="ListBullet"/>
      </w:pPr>
      <w:r>
        <w:t>Council member noted potential $20-50M gap between TIF revenue ($70M) and estimated facility cost ($120M), but administration clarified TIF extension generates ~$120M, enough for a $72M facility.</w:t>
      </w:r>
    </w:p>
    <w:p>
      <w:pPr>
        <w:pStyle w:val="Heading1"/>
      </w:pPr>
      <w:r>
        <w:t>Action items</w:t>
      </w:r>
    </w:p>
    <w:p>
      <w:pPr>
        <w:pStyle w:val="ListBullet"/>
      </w:pPr>
      <w:r>
        <w:t>Administration to provide a side-by-side cost comparison and collaboration options with the YMCA by April 20, 2026.</w:t>
      </w:r>
    </w:p>
    <w:p>
      <w:pPr>
        <w:pStyle w:val="ListBullet"/>
      </w:pPr>
      <w:r>
        <w:t>Council's administrative chair to be involved in the work.</w:t>
      </w:r>
    </w:p>
    <w:p>
      <w:pPr>
        <w:pStyle w:val="ListBullet"/>
      </w:pPr>
      <w:r>
        <w:t>Future work session on income tax increase and overall city budget needs.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Desire for a community center that is affordable and accessible to all residents.</w:t>
      </w:r>
    </w:p>
    <w:p>
      <w:pPr>
        <w:pStyle w:val="ListBullet"/>
      </w:pPr>
      <w:r>
        <w:t>Concerns about the potential impact on the existing YMCA and its members.</w:t>
      </w:r>
    </w:p>
    <w:p>
      <w:pPr>
        <w:pStyle w:val="ListBullet"/>
      </w:pPr>
      <w:r>
        <w:t>Confusion about the need for both membership fees and a tax increase.</w:t>
      </w:r>
    </w:p>
    <w:p>
      <w:pPr>
        <w:pStyle w:val="ListBullet"/>
      </w:pPr>
      <w:r>
        <w:t>Interest in preserving Brook Park as a community asset.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